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95845" w:rsidRDefault="00EE10DD">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D95845" w:rsidRDefault="00EE10DD">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D95845" w:rsidRDefault="00EE10D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D95845" w:rsidRDefault="00EE10D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D95845" w:rsidRDefault="00EE10DD">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The decision of CCS and the Buyer to consent or not will not be unreasonably withheld or delayed. Where CCS consents to the appointment of a new Key Subcontractor then they will be added to section </w:t>
      </w:r>
      <w:r>
        <w:rPr>
          <w:rFonts w:ascii="Arial" w:eastAsia="Arial" w:hAnsi="Arial" w:cs="Arial"/>
          <w:sz w:val="24"/>
          <w:szCs w:val="24"/>
        </w:rPr>
        <w:t>21</w:t>
      </w:r>
      <w:r>
        <w:rPr>
          <w:rFonts w:ascii="Arial" w:eastAsia="Arial" w:hAnsi="Arial" w:cs="Arial"/>
          <w:color w:val="000000"/>
          <w:sz w:val="24"/>
          <w:szCs w:val="24"/>
        </w:rPr>
        <w:t xml:space="preserve"> of the Framework Award Form. Where the Buyer consents t</w:t>
      </w:r>
      <w:r>
        <w:rPr>
          <w:rFonts w:ascii="Arial" w:eastAsia="Arial" w:hAnsi="Arial" w:cs="Arial"/>
          <w:color w:val="000000"/>
          <w:sz w:val="24"/>
          <w:szCs w:val="24"/>
        </w:rPr>
        <w:t>o the appointment of a new Key Subcontractor then they will be added to the Key Subcontractor section of the Order Form. CCS and the Buyer may reasonably withhold their consent to the appointment of a Key Subcontractor if it considers that:</w:t>
      </w:r>
    </w:p>
    <w:p w14:paraId="00000006"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D95845" w:rsidRDefault="00EE10D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D95845" w:rsidRDefault="00EE10D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D95845" w:rsidRDefault="00EE10DD">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D95845" w:rsidRDefault="00EE10D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of the Core Terms (Data protection);</w:t>
      </w:r>
    </w:p>
    <w:p w14:paraId="0000001A" w14:textId="77777777" w:rsidR="00D95845" w:rsidRDefault="00EE10D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FOIA and other access request </w:t>
      </w:r>
      <w:r>
        <w:rPr>
          <w:rFonts w:ascii="Arial" w:eastAsia="Arial" w:hAnsi="Arial" w:cs="Arial"/>
          <w:color w:val="000000"/>
          <w:sz w:val="24"/>
          <w:szCs w:val="24"/>
        </w:rPr>
        <w:t>requirements set out in Clause 16 of the Core Terms (When you can share information);</w:t>
      </w:r>
    </w:p>
    <w:p w14:paraId="0000001B" w14:textId="77777777" w:rsidR="00D95845" w:rsidRDefault="00EE10D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D95845" w:rsidRDefault="00EE10D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w:t>
      </w:r>
      <w:r>
        <w:rPr>
          <w:rFonts w:ascii="Arial" w:eastAsia="Arial" w:hAnsi="Arial" w:cs="Arial"/>
          <w:color w:val="000000"/>
          <w:sz w:val="24"/>
          <w:szCs w:val="24"/>
        </w:rPr>
        <w:t xml:space="preserve"> provided under the Key Sub-Contract, including the maintenance of Open Book Data; and</w:t>
      </w:r>
    </w:p>
    <w:p w14:paraId="0000001D" w14:textId="77777777" w:rsidR="00D95845" w:rsidRDefault="00EE10DD">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of the Core Terms (Record keeping and reporting);</w:t>
      </w:r>
    </w:p>
    <w:p w14:paraId="0000001E"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of the Core Terms (When CCS or the Buyer can end this contract) and 10.5 of the</w:t>
      </w:r>
      <w:r>
        <w:rPr>
          <w:rFonts w:ascii="Arial" w:eastAsia="Arial" w:hAnsi="Arial" w:cs="Arial"/>
          <w:color w:val="000000"/>
          <w:sz w:val="24"/>
          <w:szCs w:val="24"/>
        </w:rPr>
        <w:t xml:space="preserve"> Core Terms (What happens if the contract ends) of this Contract; and</w:t>
      </w:r>
    </w:p>
    <w:p w14:paraId="0000001F" w14:textId="77777777" w:rsidR="00D95845" w:rsidRDefault="00EE10DD">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w:t>
      </w:r>
      <w:r>
        <w:rPr>
          <w:rFonts w:ascii="Arial" w:eastAsia="Arial" w:hAnsi="Arial" w:cs="Arial"/>
          <w:color w:val="000000"/>
          <w:sz w:val="24"/>
          <w:szCs w:val="24"/>
        </w:rPr>
        <w:t xml:space="preserve">out first seeking the written consent of CCS and the Buyer. </w:t>
      </w:r>
    </w:p>
    <w:sectPr w:rsidR="00D9584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EDB8E" w14:textId="77777777" w:rsidR="00EE10DD" w:rsidRDefault="00EE10DD">
      <w:pPr>
        <w:spacing w:after="0" w:line="240" w:lineRule="auto"/>
      </w:pPr>
      <w:r>
        <w:separator/>
      </w:r>
    </w:p>
  </w:endnote>
  <w:endnote w:type="continuationSeparator" w:id="0">
    <w:p w14:paraId="537248EE" w14:textId="77777777" w:rsidR="00EE10DD" w:rsidRDefault="00EE1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D95845" w:rsidRDefault="00EE10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r>
    <w:r>
      <w:rPr>
        <w:rFonts w:ascii="Arial" w:eastAsia="Arial" w:hAnsi="Arial" w:cs="Arial"/>
        <w:sz w:val="20"/>
        <w:szCs w:val="20"/>
      </w:rPr>
      <w:t xml:space="preserve">                                           </w:t>
    </w:r>
  </w:p>
  <w:p w14:paraId="0000002A" w14:textId="02FEBEC2" w:rsidR="00D95845" w:rsidRDefault="00EE10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E432A">
      <w:rPr>
        <w:rFonts w:ascii="Arial" w:eastAsia="Arial" w:hAnsi="Arial" w:cs="Arial"/>
        <w:color w:val="000000"/>
        <w:sz w:val="20"/>
        <w:szCs w:val="20"/>
      </w:rPr>
      <w:fldChar w:fldCharType="separate"/>
    </w:r>
    <w:r w:rsidR="008E432A">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B" w14:textId="77777777" w:rsidR="00D95845" w:rsidRDefault="00EE10DD">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D95845" w:rsidRDefault="00D95845">
    <w:pPr>
      <w:tabs>
        <w:tab w:val="center" w:pos="4513"/>
        <w:tab w:val="right" w:pos="9026"/>
      </w:tabs>
      <w:spacing w:after="0"/>
      <w:jc w:val="both"/>
      <w:rPr>
        <w:rFonts w:ascii="Arial" w:eastAsia="Arial" w:hAnsi="Arial" w:cs="Arial"/>
        <w:sz w:val="20"/>
        <w:szCs w:val="20"/>
      </w:rPr>
    </w:pPr>
  </w:p>
  <w:p w14:paraId="00000026" w14:textId="77777777" w:rsidR="00D95845" w:rsidRDefault="00EE10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D95845" w:rsidRDefault="00EE10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D95845" w:rsidRDefault="00EE10DD">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276DD" w14:textId="77777777" w:rsidR="00EE10DD" w:rsidRDefault="00EE10DD">
      <w:pPr>
        <w:spacing w:after="0" w:line="240" w:lineRule="auto"/>
      </w:pPr>
      <w:r>
        <w:separator/>
      </w:r>
    </w:p>
  </w:footnote>
  <w:footnote w:type="continuationSeparator" w:id="0">
    <w:p w14:paraId="0CB60D7B" w14:textId="77777777" w:rsidR="00EE10DD" w:rsidRDefault="00EE1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D95845" w:rsidRDefault="00EE10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D95845" w:rsidRDefault="00EE10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D95845" w:rsidRDefault="00D95845">
    <w:pPr>
      <w:pBdr>
        <w:top w:val="nil"/>
        <w:left w:val="nil"/>
        <w:bottom w:val="nil"/>
        <w:right w:val="nil"/>
        <w:between w:val="nil"/>
      </w:pBdr>
      <w:tabs>
        <w:tab w:val="center" w:pos="4513"/>
        <w:tab w:val="right" w:pos="9026"/>
      </w:tabs>
      <w:spacing w:after="0" w:line="240" w:lineRule="auto"/>
      <w:rPr>
        <w:color w:val="000000"/>
      </w:rPr>
    </w:pPr>
  </w:p>
  <w:p w14:paraId="00000021" w14:textId="77777777" w:rsidR="00D95845" w:rsidRDefault="00D95845">
    <w:pPr>
      <w:pBdr>
        <w:top w:val="nil"/>
        <w:left w:val="nil"/>
        <w:bottom w:val="nil"/>
        <w:right w:val="nil"/>
        <w:between w:val="nil"/>
      </w:pBdr>
      <w:tabs>
        <w:tab w:val="center" w:pos="4513"/>
        <w:tab w:val="right" w:pos="9026"/>
      </w:tabs>
      <w:spacing w:after="0" w:line="240" w:lineRule="auto"/>
      <w:rPr>
        <w:color w:val="000000"/>
      </w:rPr>
    </w:pPr>
  </w:p>
  <w:p w14:paraId="00000022" w14:textId="77777777" w:rsidR="00D95845" w:rsidRDefault="00D9584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1657"/>
    <w:multiLevelType w:val="multilevel"/>
    <w:tmpl w:val="9CDC2AB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423AE2"/>
    <w:multiLevelType w:val="multilevel"/>
    <w:tmpl w:val="818A0DE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845"/>
    <w:rsid w:val="008E432A"/>
    <w:rsid w:val="00D95845"/>
    <w:rsid w:val="00EE10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00312-D52A-42AB-93FD-4CA6AFE5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Bxi+t6v9hJdEXFEesB+4h1ClIg==">AMUW2mVOQqn+0jykzBdLMHXnfMr+nW/ujcBEw5d2/TCPXzLojmQru65pO14y7/5ziPf5PHtQT0fT2ExZ/ZaKrYdzTuTaE8/Kfqfamaf7prplMlapgo/D0VqP+Wkhyiz4q0CJTzIUm8A7gUE3szycbhmwSpOOve9O3wY0sBlDzVmJrVwO1XslaPTgXVn04KFfbIT346dVLwXfM07BTQj4UoV0sOv6r2GHfQ==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2022-10-25T16:01:00Z</dcterms:created>
  <dcterms:modified xsi:type="dcterms:W3CDTF">2022-10-25T16:01:00Z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